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56C9CA3D" w:rsidR="001F6C94" w:rsidRPr="00037304" w:rsidRDefault="00255C54" w:rsidP="0083778A">
      <w:pPr>
        <w:spacing w:line="360" w:lineRule="auto"/>
        <w:rPr>
          <w:rFonts w:ascii="Roboto" w:hAnsi="Roboto"/>
          <w:kern w:val="0"/>
          <w14:ligatures w14:val="none"/>
        </w:rPr>
      </w:pPr>
      <w:r>
        <w:rPr>
          <w:rFonts w:ascii="Roboto" w:hAnsi="Roboto"/>
        </w:rPr>
        <w:t xml:space="preserve">Amstetten, Autriche – </w:t>
      </w:r>
      <w:r w:rsidR="00A4167A">
        <w:rPr>
          <w:rFonts w:ascii="Roboto" w:hAnsi="Roboto"/>
        </w:rPr>
        <w:t>18/02/2026</w:t>
      </w:r>
    </w:p>
    <w:p w14:paraId="007B9991" w14:textId="77777777" w:rsidR="0083778A" w:rsidRPr="00A4167A"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HUB MEI – D’Istanbul à New Delhi : le HUB MEI comme plaque tournante pour la croissance et l’innovation </w:t>
      </w:r>
    </w:p>
    <w:p w14:paraId="423CEADB" w14:textId="05C8C895" w:rsidR="00E002E8" w:rsidRPr="00E002E8" w:rsidRDefault="00F446BA" w:rsidP="00DC691D">
      <w:pPr>
        <w:spacing w:line="360" w:lineRule="auto"/>
        <w:rPr>
          <w:rFonts w:ascii="Roboto" w:hAnsi="Roboto"/>
        </w:rPr>
      </w:pPr>
      <w:r>
        <w:rPr>
          <w:rFonts w:ascii="Roboto" w:hAnsi="Roboto"/>
        </w:rPr>
        <w:br/>
        <w:t xml:space="preserve">Les HUB jouent un rôle central dans le réseau international de </w:t>
      </w:r>
      <w:proofErr w:type="spellStart"/>
      <w:r>
        <w:rPr>
          <w:rFonts w:ascii="Roboto" w:hAnsi="Roboto"/>
        </w:rPr>
        <w:t>LiSEC</w:t>
      </w:r>
      <w:proofErr w:type="spellEnd"/>
      <w:r>
        <w:rPr>
          <w:rFonts w:ascii="Roboto" w:hAnsi="Roboto"/>
        </w:rPr>
        <w:t xml:space="preserve">. Nous allons nous intéresser aujourd'hui au HUB MEI. Avec la mise en place du HUB MEI (Middle East &amp; India), </w:t>
      </w:r>
      <w:proofErr w:type="spellStart"/>
      <w:r>
        <w:rPr>
          <w:rFonts w:ascii="Roboto" w:hAnsi="Roboto"/>
        </w:rPr>
        <w:t>LiSEC</w:t>
      </w:r>
      <w:proofErr w:type="spellEnd"/>
      <w:r>
        <w:rPr>
          <w:rFonts w:ascii="Roboto" w:hAnsi="Roboto"/>
        </w:rPr>
        <w:t xml:space="preserve"> a franchi une étape stratégique importante pour être présent durablement dans les régions du monde les plus peuplées et les plus dynamiques économiquement. Depuis janvier 2024, le HUB est dirigé par Johann Stöger qui travaille dans l’entreprise depuis 24 ans et a une solide expérience dans différents domaines. Depuis avril 2025, il est assisté par Ignatius Dias qui est directeur général de </w:t>
      </w:r>
      <w:proofErr w:type="spellStart"/>
      <w:r>
        <w:rPr>
          <w:rFonts w:ascii="Roboto" w:hAnsi="Roboto"/>
        </w:rPr>
        <w:t>LiSEC</w:t>
      </w:r>
      <w:proofErr w:type="spellEnd"/>
      <w:r>
        <w:rPr>
          <w:rFonts w:ascii="Roboto" w:hAnsi="Roboto"/>
        </w:rPr>
        <w:t xml:space="preserve"> Middle East.</w:t>
      </w:r>
    </w:p>
    <w:p w14:paraId="706E0C5C" w14:textId="77777777" w:rsidR="00E002E8" w:rsidRPr="00A4167A"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Responsabilité régionale avec une portée mondiale</w:t>
      </w:r>
    </w:p>
    <w:p w14:paraId="51776190" w14:textId="270C8C4E" w:rsidR="00E002E8" w:rsidRPr="00E002E8" w:rsidRDefault="00E002E8" w:rsidP="00E002E8">
      <w:pPr>
        <w:spacing w:line="360" w:lineRule="auto"/>
        <w:jc w:val="both"/>
        <w:rPr>
          <w:rFonts w:ascii="Roboto" w:hAnsi="Roboto"/>
        </w:rPr>
      </w:pPr>
      <w:r>
        <w:rPr>
          <w:rFonts w:ascii="Roboto" w:hAnsi="Roboto"/>
        </w:rPr>
        <w:t xml:space="preserve">Le HUB MEI prend en charge 23 pays au total – parmi lesquels des marchés avec un certain poids économique comme l’Inde, les Émirats Arabes Unis, l’Arabie-Saoudite, l'Égypte et la Turquie. Avec environ un quart de la population mondiale dans cette région, le HUB est un élément central de la stratégie mondiale de </w:t>
      </w:r>
      <w:proofErr w:type="spellStart"/>
      <w:r>
        <w:rPr>
          <w:rFonts w:ascii="Roboto" w:hAnsi="Roboto"/>
        </w:rPr>
        <w:t>LiSEC</w:t>
      </w:r>
      <w:proofErr w:type="spellEnd"/>
      <w:r>
        <w:rPr>
          <w:rFonts w:ascii="Roboto" w:hAnsi="Roboto"/>
        </w:rPr>
        <w:t xml:space="preserve">. Les deux filiales – </w:t>
      </w:r>
      <w:proofErr w:type="spellStart"/>
      <w:r>
        <w:rPr>
          <w:rFonts w:ascii="Roboto" w:hAnsi="Roboto"/>
        </w:rPr>
        <w:t>LiSEC</w:t>
      </w:r>
      <w:proofErr w:type="spellEnd"/>
      <w:r>
        <w:rPr>
          <w:rFonts w:ascii="Roboto" w:hAnsi="Roboto"/>
        </w:rPr>
        <w:t xml:space="preserve"> </w:t>
      </w:r>
      <w:proofErr w:type="spellStart"/>
      <w:r>
        <w:rPr>
          <w:rFonts w:ascii="Roboto" w:hAnsi="Roboto"/>
        </w:rPr>
        <w:t>Türkei</w:t>
      </w:r>
      <w:proofErr w:type="spellEnd"/>
      <w:r>
        <w:rPr>
          <w:rFonts w:ascii="Roboto" w:hAnsi="Roboto"/>
        </w:rPr>
        <w:t xml:space="preserve"> (LTR) avec quatre collaborateurs et </w:t>
      </w:r>
      <w:proofErr w:type="spellStart"/>
      <w:r>
        <w:rPr>
          <w:rFonts w:ascii="Roboto" w:hAnsi="Roboto"/>
        </w:rPr>
        <w:t>LiSEC</w:t>
      </w:r>
      <w:proofErr w:type="spellEnd"/>
      <w:r>
        <w:rPr>
          <w:rFonts w:ascii="Roboto" w:hAnsi="Roboto"/>
        </w:rPr>
        <w:t xml:space="preserve"> Middle East (LAE) avec dix collaborateurs – travaillent étroitement pour utiliser les synergies et répondre ainsi de manière optimale aux exigences du marché.</w:t>
      </w:r>
    </w:p>
    <w:p w14:paraId="639AE3AB" w14:textId="77777777" w:rsidR="00E002E8" w:rsidRPr="00A4167A"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Collaboration clairement structurée</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collaboration entre les deux sites est très claire : tandis que la Turquie assure principalement des tâches opérationnelles comme les formalités douanières et la distribution des pièces de rechange, la gestion centralisée des pièces de rechange incombe à LAE. La direction des deux filiales est étroitement coordonnée pour considérer les particularités régionales et garantir des processus efficaces. Aykut Erdem est venu récemment renforcer </w:t>
      </w:r>
      <w:r>
        <w:rPr>
          <w:rFonts w:ascii="Roboto" w:hAnsi="Roboto"/>
        </w:rPr>
        <w:lastRenderedPageBreak/>
        <w:t>l’équipe commerciale afin de mettre l’accent sur la proximité avec les clients et l’expansion du marché.</w:t>
      </w:r>
    </w:p>
    <w:p w14:paraId="1B9C64CA" w14:textId="77777777" w:rsidR="00E002E8" w:rsidRPr="00A4167A"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Perspectives 2030, structure de la clientèle et potentiel du marché</w:t>
      </w:r>
    </w:p>
    <w:p w14:paraId="5BAF314D" w14:textId="20A415A4" w:rsidR="00E002E8" w:rsidRDefault="00E002E8" w:rsidP="00E002E8">
      <w:pPr>
        <w:spacing w:line="360" w:lineRule="auto"/>
        <w:jc w:val="both"/>
        <w:rPr>
          <w:rFonts w:ascii="Roboto" w:hAnsi="Roboto"/>
        </w:rPr>
      </w:pPr>
      <w:r>
        <w:rPr>
          <w:rFonts w:ascii="Roboto" w:hAnsi="Roboto"/>
        </w:rPr>
        <w:t>Avec l’agrandissement de l’équipe commerciale et technique et une implantation plus forte sur les marchés grâce à des adaptations de produits ciblées, le HUB MEI poursuit une stratégie de croissance ambitieuse jusqu’en 2030.</w:t>
      </w:r>
    </w:p>
    <w:p w14:paraId="2506A57A" w14:textId="33F11CB7" w:rsidR="00E002E8" w:rsidRPr="00E002E8" w:rsidRDefault="00E002E8" w:rsidP="00E002E8">
      <w:pPr>
        <w:spacing w:line="360" w:lineRule="auto"/>
        <w:jc w:val="both"/>
        <w:rPr>
          <w:rFonts w:ascii="Roboto" w:hAnsi="Roboto"/>
        </w:rPr>
      </w:pPr>
      <w:r>
        <w:rPr>
          <w:rFonts w:ascii="Roboto" w:hAnsi="Roboto"/>
        </w:rPr>
        <w:t xml:space="preserve">Même le portefeuille client du HUB est très vaste, il s’étend des petites entreprises aux grandes entreprises. Les solutions haute technologie, telles que celles proposées par </w:t>
      </w:r>
      <w:proofErr w:type="spellStart"/>
      <w:r>
        <w:rPr>
          <w:rFonts w:ascii="Roboto" w:hAnsi="Roboto"/>
        </w:rPr>
        <w:t>LiSEC</w:t>
      </w:r>
      <w:proofErr w:type="spellEnd"/>
      <w:r>
        <w:rPr>
          <w:rFonts w:ascii="Roboto" w:hAnsi="Roboto"/>
        </w:rPr>
        <w:t xml:space="preserve">, sont particulièrement demandées. Dans les marchés émergents, le potentiel de telles solutions est certes encore limité mais il évolue. Avec </w:t>
      </w:r>
      <w:proofErr w:type="spellStart"/>
      <w:r>
        <w:rPr>
          <w:rFonts w:ascii="Roboto" w:hAnsi="Roboto"/>
        </w:rPr>
        <w:t>LiTROS</w:t>
      </w:r>
      <w:proofErr w:type="spellEnd"/>
      <w:r>
        <w:rPr>
          <w:rFonts w:ascii="Roboto" w:hAnsi="Roboto"/>
        </w:rPr>
        <w:t xml:space="preserve">, </w:t>
      </w:r>
      <w:proofErr w:type="spellStart"/>
      <w:r>
        <w:rPr>
          <w:rFonts w:ascii="Roboto" w:hAnsi="Roboto"/>
        </w:rPr>
        <w:t>LiSEC</w:t>
      </w:r>
      <w:proofErr w:type="spellEnd"/>
      <w:r>
        <w:rPr>
          <w:rFonts w:ascii="Roboto" w:hAnsi="Roboto"/>
        </w:rPr>
        <w:t xml:space="preserve"> offre désormais également une solution d’entrée de gamme attrayante pour ces marchés. Pour de plus amples informations à ce sujet, voir : https://www.litros.com/</w:t>
      </w:r>
      <w:r w:rsidR="00A4167A">
        <w:rPr>
          <w:rFonts w:ascii="Roboto" w:hAnsi="Roboto"/>
        </w:rPr>
        <w:t>en</w:t>
      </w:r>
    </w:p>
    <w:p w14:paraId="1B43B992" w14:textId="77777777" w:rsidR="00E002E8" w:rsidRPr="00A4167A"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Tendances et technologies</w:t>
      </w:r>
    </w:p>
    <w:p w14:paraId="25608CA5" w14:textId="651BAF52" w:rsidR="00E002E8" w:rsidRPr="00E002E8" w:rsidRDefault="00E002E8" w:rsidP="00E002E8">
      <w:pPr>
        <w:spacing w:line="360" w:lineRule="auto"/>
        <w:jc w:val="both"/>
        <w:rPr>
          <w:rFonts w:ascii="Roboto" w:hAnsi="Roboto"/>
        </w:rPr>
      </w:pPr>
      <w:r>
        <w:rPr>
          <w:rFonts w:ascii="Roboto" w:hAnsi="Roboto"/>
        </w:rPr>
        <w:t xml:space="preserve">La région connaît actuellement un véritable boom dans la construction – notamment à Dubaï, </w:t>
      </w:r>
      <w:proofErr w:type="spellStart"/>
      <w:r>
        <w:rPr>
          <w:rFonts w:ascii="Roboto" w:hAnsi="Roboto"/>
        </w:rPr>
        <w:t>Jeddah</w:t>
      </w:r>
      <w:proofErr w:type="spellEnd"/>
      <w:r>
        <w:rPr>
          <w:rFonts w:ascii="Roboto" w:hAnsi="Roboto"/>
        </w:rPr>
        <w:t xml:space="preserve"> et Riad, où sont réalisés certains des projets de construction les plus modernes et les plus couteux du monde. Les grandes façades en verre avec des enductions spéciales font partie de la norme ici et sont usinées sur des installations </w:t>
      </w:r>
      <w:proofErr w:type="spellStart"/>
      <w:r>
        <w:rPr>
          <w:rFonts w:ascii="Roboto" w:hAnsi="Roboto"/>
        </w:rPr>
        <w:t>LiSEC</w:t>
      </w:r>
      <w:proofErr w:type="spellEnd"/>
      <w:r>
        <w:rPr>
          <w:rFonts w:ascii="Roboto" w:hAnsi="Roboto"/>
        </w:rPr>
        <w:t xml:space="preserve">. On observe une tendance particulièrement forte actuellement pour les entretoises TPA : trois installations TPA de </w:t>
      </w:r>
      <w:proofErr w:type="spellStart"/>
      <w:r>
        <w:rPr>
          <w:rFonts w:ascii="Roboto" w:hAnsi="Roboto"/>
        </w:rPr>
        <w:t>LiSEC</w:t>
      </w:r>
      <w:proofErr w:type="spellEnd"/>
      <w:r>
        <w:rPr>
          <w:rFonts w:ascii="Roboto" w:hAnsi="Roboto"/>
        </w:rPr>
        <w:t xml:space="preserve"> ont été vendues en très peu de temps et la demande ne cesse de croître.</w:t>
      </w:r>
    </w:p>
    <w:p w14:paraId="0766BEC2" w14:textId="77777777" w:rsidR="00E002E8" w:rsidRPr="00A4167A"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Défis et diversité culturelle</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La taille et la diversité de la région implique également des défis :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tensions géopolitiques peuvent retarder les projets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différences culturelles nécessitent un haut niveau de compétence interculturelle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processus de décision sont souvent plus lents et moins planifiables qu’en Europe </w:t>
      </w:r>
    </w:p>
    <w:p w14:paraId="0C0F836C" w14:textId="3E35B0B3" w:rsidR="00E002E8" w:rsidRPr="00E002E8" w:rsidRDefault="00E002E8" w:rsidP="00E002E8">
      <w:pPr>
        <w:spacing w:line="360" w:lineRule="auto"/>
        <w:jc w:val="both"/>
        <w:rPr>
          <w:rFonts w:ascii="Roboto" w:hAnsi="Roboto"/>
        </w:rPr>
      </w:pPr>
      <w:r>
        <w:rPr>
          <w:rFonts w:ascii="Roboto" w:hAnsi="Roboto"/>
        </w:rPr>
        <w:lastRenderedPageBreak/>
        <w:t>Les opportunités sont néanmoins énormes : La région connaît un essor rapide, elle a une culture de l’innovation et est ouverte aux nouvelles technologies. « Le HUB MEI est un élément central de notre stratégie globale. En mettant clairement l’accent sur la croissance, l’adaptation régionale et une étroite collaboration, nous sommes mieux préparés à exploiter pleinement le potentiel de cette région. » – Johann Stöger, directeur du HUB MEI</w:t>
      </w:r>
    </w:p>
    <w:p w14:paraId="1919FAFA" w14:textId="77777777" w:rsidR="00E002E8" w:rsidRPr="00A4167A" w:rsidRDefault="00E002E8" w:rsidP="00E002E8">
      <w:pPr>
        <w:spacing w:line="360" w:lineRule="auto"/>
        <w:jc w:val="both"/>
        <w:rPr>
          <w:rFonts w:ascii="Roboto" w:hAnsi="Roboto"/>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Perspectives</w:t>
      </w:r>
    </w:p>
    <w:p w14:paraId="6633F701" w14:textId="723D93BE" w:rsidR="00E002E8" w:rsidRPr="00E002E8" w:rsidRDefault="00E002E8" w:rsidP="00E002E8">
      <w:pPr>
        <w:spacing w:line="360" w:lineRule="auto"/>
        <w:jc w:val="both"/>
        <w:rPr>
          <w:rFonts w:ascii="Roboto" w:hAnsi="Roboto"/>
        </w:rPr>
      </w:pPr>
      <w:r>
        <w:rPr>
          <w:rFonts w:ascii="Roboto" w:hAnsi="Roboto"/>
        </w:rPr>
        <w:t xml:space="preserve">Avec le HUB MEI, </w:t>
      </w:r>
      <w:proofErr w:type="spellStart"/>
      <w:r>
        <w:rPr>
          <w:rFonts w:ascii="Roboto" w:hAnsi="Roboto"/>
        </w:rPr>
        <w:t>LiSEC</w:t>
      </w:r>
      <w:proofErr w:type="spellEnd"/>
      <w:r>
        <w:rPr>
          <w:rFonts w:ascii="Roboto" w:hAnsi="Roboto"/>
        </w:rPr>
        <w:t xml:space="preserve"> montre de nouveau sa capacité à s’adapter de manière flexible et orientée vers l’avenir aux marchés internationaux. La combinaison entre proximité régionale, savoir-faire technologique et vision stratégique confère au HUB quelque chose de particulier. Les années à venir promettent non seulement la croissance économique mais aussi un renforcement des relations avec les clients et un positionnement durable.</w:t>
      </w:r>
    </w:p>
    <w:p w14:paraId="20DA81EE" w14:textId="77777777" w:rsidR="00FE757F" w:rsidRPr="00A4167A"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Images : </w:t>
      </w:r>
    </w:p>
    <w:p w14:paraId="2BA3C42F" w14:textId="77777777" w:rsidR="002F35DF" w:rsidRDefault="002F35DF" w:rsidP="002F35DF">
      <w:pPr>
        <w:spacing w:line="360" w:lineRule="auto"/>
        <w:rPr>
          <w:rFonts w:ascii="Roboto" w:hAnsi="Roboto"/>
          <w:b/>
          <w:lang w:val="de-AT"/>
        </w:rPr>
      </w:pPr>
      <w:r>
        <w:rPr>
          <w:rFonts w:ascii="Roboto" w:hAnsi="Roboto"/>
          <w:noProof/>
          <w:lang w:val="de-AT"/>
        </w:rPr>
        <w:drawing>
          <wp:inline distT="0" distB="0" distL="0" distR="0" wp14:anchorId="38D8852E" wp14:editId="187ED0C1">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44AA1039" w14:textId="7599C15E" w:rsidR="002F35DF" w:rsidRPr="00A55013" w:rsidRDefault="002F35DF" w:rsidP="002F35DF">
      <w:pPr>
        <w:spacing w:line="360" w:lineRule="auto"/>
        <w:rPr>
          <w:rFonts w:ascii="Roboto" w:hAnsi="Roboto"/>
          <w:bCs/>
          <w:sz w:val="20"/>
          <w:szCs w:val="20"/>
          <w:lang w:val="de-AT"/>
        </w:rPr>
      </w:pPr>
      <w:r w:rsidRPr="00A55013">
        <w:rPr>
          <w:rFonts w:ascii="Roboto" w:hAnsi="Roboto"/>
          <w:bCs/>
          <w:sz w:val="20"/>
          <w:szCs w:val="20"/>
          <w:lang w:val="de-AT"/>
        </w:rPr>
        <w:t xml:space="preserve">© </w:t>
      </w:r>
      <w:proofErr w:type="spellStart"/>
      <w:r w:rsidRPr="00A55013">
        <w:rPr>
          <w:rFonts w:ascii="Roboto" w:hAnsi="Roboto"/>
          <w:bCs/>
          <w:sz w:val="20"/>
          <w:szCs w:val="20"/>
          <w:lang w:val="de-AT"/>
        </w:rPr>
        <w:t>LiSEC</w:t>
      </w:r>
      <w:proofErr w:type="spellEnd"/>
      <w:r w:rsidRPr="00A55013">
        <w:rPr>
          <w:rFonts w:ascii="Roboto" w:hAnsi="Roboto"/>
          <w:bCs/>
          <w:sz w:val="20"/>
          <w:szCs w:val="20"/>
          <w:lang w:val="de-AT"/>
        </w:rPr>
        <w:t xml:space="preserve">; </w:t>
      </w:r>
      <w:r w:rsidRPr="002F35DF">
        <w:rPr>
          <w:rFonts w:ascii="Roboto" w:hAnsi="Roboto"/>
          <w:bCs/>
          <w:sz w:val="20"/>
          <w:szCs w:val="20"/>
          <w:lang w:val="de-AT"/>
        </w:rPr>
        <w:t xml:space="preserve">De </w:t>
      </w:r>
      <w:proofErr w:type="spellStart"/>
      <w:r w:rsidRPr="002F35DF">
        <w:rPr>
          <w:rFonts w:ascii="Roboto" w:hAnsi="Roboto"/>
          <w:bCs/>
          <w:sz w:val="20"/>
          <w:szCs w:val="20"/>
          <w:lang w:val="de-AT"/>
        </w:rPr>
        <w:t>gauche</w:t>
      </w:r>
      <w:proofErr w:type="spellEnd"/>
      <w:r w:rsidRPr="002F35DF">
        <w:rPr>
          <w:rFonts w:ascii="Roboto" w:hAnsi="Roboto"/>
          <w:bCs/>
          <w:sz w:val="20"/>
          <w:szCs w:val="20"/>
          <w:lang w:val="de-AT"/>
        </w:rPr>
        <w:t xml:space="preserve"> à </w:t>
      </w:r>
      <w:proofErr w:type="spellStart"/>
      <w:r w:rsidRPr="002F35DF">
        <w:rPr>
          <w:rFonts w:ascii="Roboto" w:hAnsi="Roboto"/>
          <w:bCs/>
          <w:sz w:val="20"/>
          <w:szCs w:val="20"/>
          <w:lang w:val="de-AT"/>
        </w:rPr>
        <w:t>droite</w:t>
      </w:r>
      <w:proofErr w:type="spellEnd"/>
      <w:r w:rsidRPr="002F35DF">
        <w:rPr>
          <w:rFonts w:ascii="Roboto" w:hAnsi="Roboto"/>
          <w:bCs/>
          <w:sz w:val="20"/>
          <w:szCs w:val="20"/>
          <w:lang w:val="de-AT"/>
        </w:rPr>
        <w:t xml:space="preserve"> : Dmello Rocksun Ronald, Hegde Rajesh, </w:t>
      </w:r>
      <w:proofErr w:type="spellStart"/>
      <w:r w:rsidRPr="002F35DF">
        <w:rPr>
          <w:rFonts w:ascii="Roboto" w:hAnsi="Roboto"/>
          <w:bCs/>
          <w:sz w:val="20"/>
          <w:szCs w:val="20"/>
          <w:lang w:val="de-AT"/>
        </w:rPr>
        <w:t>Garudanadurga</w:t>
      </w:r>
      <w:proofErr w:type="spellEnd"/>
      <w:r w:rsidRPr="002F35DF">
        <w:rPr>
          <w:rFonts w:ascii="Roboto" w:hAnsi="Roboto"/>
          <w:bCs/>
          <w:sz w:val="20"/>
          <w:szCs w:val="20"/>
          <w:lang w:val="de-AT"/>
        </w:rPr>
        <w:t xml:space="preserve"> Rajesh, Dias Ignatius, Stöger Johann, Mailum Loris, Hamdan Mohammed, Dula Alvin, Khan Allanoor, Tangela Chandrasekar</w:t>
      </w:r>
    </w:p>
    <w:p w14:paraId="4B3D29AE" w14:textId="77777777" w:rsidR="002F35DF" w:rsidRDefault="002F35DF" w:rsidP="002F35DF">
      <w:pPr>
        <w:spacing w:line="360" w:lineRule="auto"/>
        <w:rPr>
          <w:rFonts w:ascii="Roboto" w:hAnsi="Roboto"/>
          <w:lang w:val="de-AT"/>
        </w:rPr>
      </w:pPr>
      <w:r>
        <w:rPr>
          <w:rFonts w:ascii="Roboto" w:hAnsi="Roboto"/>
          <w:noProof/>
          <w:lang w:val="de-AT"/>
        </w:rPr>
        <w:drawing>
          <wp:inline distT="0" distB="0" distL="0" distR="0" wp14:anchorId="174BBF0B" wp14:editId="49929C31">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0474E34A" w14:textId="752A26A5" w:rsidR="002F35DF" w:rsidRDefault="002F35DF" w:rsidP="002F35DF">
      <w:pPr>
        <w:spacing w:line="360" w:lineRule="auto"/>
        <w:rPr>
          <w:rFonts w:ascii="Roboto" w:hAnsi="Roboto"/>
          <w:lang w:val="de-AT"/>
        </w:rPr>
      </w:pPr>
      <w:r w:rsidRPr="00A55013">
        <w:rPr>
          <w:rFonts w:ascii="Roboto" w:hAnsi="Roboto"/>
          <w:bCs/>
          <w:sz w:val="20"/>
          <w:szCs w:val="20"/>
          <w:lang w:val="de-AT"/>
        </w:rPr>
        <w:t xml:space="preserve">© </w:t>
      </w:r>
      <w:proofErr w:type="spellStart"/>
      <w:r w:rsidRPr="00A55013">
        <w:rPr>
          <w:rFonts w:ascii="Roboto" w:hAnsi="Roboto"/>
          <w:bCs/>
          <w:sz w:val="20"/>
          <w:szCs w:val="20"/>
          <w:lang w:val="de-AT"/>
        </w:rPr>
        <w:t>LiSEC</w:t>
      </w:r>
      <w:proofErr w:type="spellEnd"/>
      <w:r w:rsidRPr="00A55013">
        <w:rPr>
          <w:rFonts w:ascii="Roboto" w:hAnsi="Roboto"/>
          <w:bCs/>
          <w:sz w:val="20"/>
          <w:szCs w:val="20"/>
          <w:lang w:val="de-AT"/>
        </w:rPr>
        <w:t xml:space="preserve">; </w:t>
      </w:r>
      <w:r w:rsidRPr="002F35DF">
        <w:rPr>
          <w:rFonts w:ascii="Roboto" w:hAnsi="Roboto"/>
          <w:sz w:val="20"/>
          <w:szCs w:val="20"/>
          <w:lang w:val="de-AT"/>
        </w:rPr>
        <w:t xml:space="preserve">De </w:t>
      </w:r>
      <w:proofErr w:type="spellStart"/>
      <w:r w:rsidRPr="002F35DF">
        <w:rPr>
          <w:rFonts w:ascii="Roboto" w:hAnsi="Roboto"/>
          <w:sz w:val="20"/>
          <w:szCs w:val="20"/>
          <w:lang w:val="de-AT"/>
        </w:rPr>
        <w:t>gauche</w:t>
      </w:r>
      <w:proofErr w:type="spellEnd"/>
      <w:r w:rsidRPr="002F35DF">
        <w:rPr>
          <w:rFonts w:ascii="Roboto" w:hAnsi="Roboto"/>
          <w:sz w:val="20"/>
          <w:szCs w:val="20"/>
          <w:lang w:val="de-AT"/>
        </w:rPr>
        <w:t xml:space="preserve"> à </w:t>
      </w:r>
      <w:proofErr w:type="spellStart"/>
      <w:r w:rsidRPr="002F35DF">
        <w:rPr>
          <w:rFonts w:ascii="Roboto" w:hAnsi="Roboto"/>
          <w:sz w:val="20"/>
          <w:szCs w:val="20"/>
          <w:lang w:val="de-AT"/>
        </w:rPr>
        <w:t>droite</w:t>
      </w:r>
      <w:proofErr w:type="spellEnd"/>
      <w:r w:rsidRPr="002F35DF">
        <w:rPr>
          <w:rFonts w:ascii="Roboto" w:hAnsi="Roboto"/>
          <w:sz w:val="20"/>
          <w:szCs w:val="20"/>
          <w:lang w:val="de-AT"/>
        </w:rPr>
        <w:t xml:space="preserve"> : Dula Alvin, </w:t>
      </w:r>
      <w:proofErr w:type="spellStart"/>
      <w:r w:rsidRPr="002F35DF">
        <w:rPr>
          <w:rFonts w:ascii="Roboto" w:hAnsi="Roboto"/>
          <w:sz w:val="20"/>
          <w:szCs w:val="20"/>
          <w:lang w:val="de-AT"/>
        </w:rPr>
        <w:t>Garudanadurga</w:t>
      </w:r>
      <w:proofErr w:type="spellEnd"/>
      <w:r w:rsidRPr="002F35DF">
        <w:rPr>
          <w:rFonts w:ascii="Roboto" w:hAnsi="Roboto"/>
          <w:sz w:val="20"/>
          <w:szCs w:val="20"/>
          <w:lang w:val="de-AT"/>
        </w:rPr>
        <w:t xml:space="preserve"> Rajesh, Mailum Loris, Tangela Chandrasekar, Khan Allanoor, Dmello Rocksun Ronald</w:t>
      </w:r>
    </w:p>
    <w:p w14:paraId="134030A7" w14:textId="77777777" w:rsidR="002F35DF" w:rsidRDefault="002F35DF" w:rsidP="002F35DF">
      <w:pPr>
        <w:spacing w:line="360" w:lineRule="auto"/>
        <w:rPr>
          <w:rFonts w:ascii="Roboto" w:hAnsi="Roboto"/>
          <w:lang w:val="de-AT"/>
        </w:rPr>
      </w:pPr>
    </w:p>
    <w:p w14:paraId="209734F0" w14:textId="77777777" w:rsidR="002F35DF" w:rsidRDefault="002F35DF" w:rsidP="002F35DF">
      <w:pPr>
        <w:spacing w:line="360" w:lineRule="auto"/>
        <w:rPr>
          <w:rFonts w:ascii="Roboto" w:hAnsi="Roboto"/>
          <w:lang w:val="de-AT"/>
        </w:rPr>
      </w:pPr>
      <w:r>
        <w:rPr>
          <w:rFonts w:ascii="Roboto" w:hAnsi="Roboto"/>
          <w:noProof/>
          <w:lang w:val="de-AT"/>
        </w:rPr>
        <w:lastRenderedPageBreak/>
        <w:drawing>
          <wp:inline distT="0" distB="0" distL="0" distR="0" wp14:anchorId="49B94C1A" wp14:editId="56926752">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63D68C7D" w14:textId="5191846F" w:rsidR="002F35DF" w:rsidRPr="002F35DF" w:rsidRDefault="002F35DF" w:rsidP="002F35DF">
      <w:pPr>
        <w:spacing w:line="360" w:lineRule="auto"/>
        <w:rPr>
          <w:rFonts w:ascii="Roboto" w:hAnsi="Roboto"/>
          <w:lang w:val="en-US"/>
        </w:rPr>
      </w:pPr>
      <w:r w:rsidRPr="002F35DF">
        <w:rPr>
          <w:rFonts w:ascii="Roboto" w:hAnsi="Roboto"/>
          <w:bCs/>
          <w:sz w:val="20"/>
          <w:szCs w:val="20"/>
          <w:lang w:val="en-US"/>
        </w:rPr>
        <w:t xml:space="preserve">© </w:t>
      </w:r>
      <w:proofErr w:type="spellStart"/>
      <w:r w:rsidRPr="002F35DF">
        <w:rPr>
          <w:rFonts w:ascii="Roboto" w:hAnsi="Roboto"/>
          <w:bCs/>
          <w:sz w:val="20"/>
          <w:szCs w:val="20"/>
          <w:lang w:val="en-US"/>
        </w:rPr>
        <w:t>LiSEC</w:t>
      </w:r>
      <w:proofErr w:type="spellEnd"/>
      <w:r w:rsidRPr="002F35DF">
        <w:rPr>
          <w:rFonts w:ascii="Roboto" w:hAnsi="Roboto"/>
          <w:bCs/>
          <w:sz w:val="20"/>
          <w:szCs w:val="20"/>
          <w:lang w:val="en-US"/>
        </w:rPr>
        <w:t xml:space="preserve">; Mailum Loris à la </w:t>
      </w:r>
      <w:proofErr w:type="spellStart"/>
      <w:r w:rsidRPr="002F35DF">
        <w:rPr>
          <w:rFonts w:ascii="Roboto" w:hAnsi="Roboto"/>
          <w:bCs/>
          <w:sz w:val="20"/>
          <w:szCs w:val="20"/>
          <w:lang w:val="en-US"/>
        </w:rPr>
        <w:t>réception</w:t>
      </w:r>
      <w:proofErr w:type="spellEnd"/>
    </w:p>
    <w:p w14:paraId="5A7CAE49" w14:textId="77777777" w:rsidR="007E1351" w:rsidRPr="00A4167A"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À propos de </w:t>
      </w:r>
      <w:proofErr w:type="spellStart"/>
      <w:r>
        <w:rPr>
          <w:rFonts w:ascii="Roboto" w:hAnsi="Roboto"/>
          <w:b/>
          <w:sz w:val="20"/>
        </w:rPr>
        <w:t>LiSEC</w:t>
      </w:r>
      <w:proofErr w:type="spellEnd"/>
    </w:p>
    <w:p w14:paraId="0A1A2A79" w14:textId="77777777" w:rsidR="00037304" w:rsidRDefault="00037304" w:rsidP="00037304">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w:t>
      </w:r>
      <w:proofErr w:type="spellStart"/>
      <w:r>
        <w:rPr>
          <w:rFonts w:ascii="Roboto" w:hAnsi="Roboto"/>
          <w:sz w:val="20"/>
        </w:rPr>
        <w:t>LiSEC</w:t>
      </w:r>
      <w:proofErr w:type="spellEnd"/>
      <w:r>
        <w:rPr>
          <w:rFonts w:ascii="Roboto" w:hAnsi="Roboto"/>
          <w:sz w:val="20"/>
        </w:rPr>
        <w:t xml:space="preserve">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28DC260C" w14:textId="77777777" w:rsidR="00037304" w:rsidRPr="00A4167A"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t xml:space="preserve">E-mail :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833D5"/>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2F35DF"/>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167A"/>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945</Words>
  <Characters>5496</Characters>
  <Application>Microsoft Office Word</Application>
  <DocSecurity>0</DocSecurity>
  <Lines>109</Lines>
  <Paragraphs>36</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21</cp:revision>
  <dcterms:created xsi:type="dcterms:W3CDTF">2025-06-25T07:44:00Z</dcterms:created>
  <dcterms:modified xsi:type="dcterms:W3CDTF">2026-02-17T12:25:00Z</dcterms:modified>
</cp:coreProperties>
</file>